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sz w:val="24"/>
          <w:szCs w:val="24"/>
          <w:rtl w:val="0"/>
        </w:rPr>
        <w:t xml:space="preserve">Assessment Committee April 7, 2025 NOTES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Agenda</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Updates</w:t>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Accreditation: We heard back officially from the NWCCU regarding our Ad Hoc report and evaluation visit in Fall 2024. Let’s review their response and discuss our next steps for assessment work related to accreditation.</w:t>
      </w:r>
    </w:p>
    <w:p w:rsidR="00000000" w:rsidDel="00000000" w:rsidP="00000000" w:rsidRDefault="00000000" w:rsidRPr="00000000" w14:paraId="00000007">
      <w:pPr>
        <w:numPr>
          <w:ilvl w:val="0"/>
          <w:numId w:val="2"/>
        </w:numPr>
        <w:ind w:left="1440" w:hanging="360"/>
        <w:rPr>
          <w:u w:val="none"/>
        </w:rPr>
      </w:pPr>
      <w:r w:rsidDel="00000000" w:rsidR="00000000" w:rsidRPr="00000000">
        <w:rPr>
          <w:rtl w:val="0"/>
        </w:rPr>
        <w:t xml:space="preserve">Official response to the Ad Hoc review of Fall 2024: </w:t>
      </w:r>
      <w:hyperlink r:id="rId6">
        <w:r w:rsidDel="00000000" w:rsidR="00000000" w:rsidRPr="00000000">
          <w:rPr>
            <w:color w:val="1155cc"/>
            <w:u w:val="single"/>
            <w:rtl w:val="0"/>
          </w:rPr>
          <w:t xml:space="preserve">Commission letter March 3 2025</w:t>
        </w:r>
      </w:hyperlink>
      <w:r w:rsidDel="00000000" w:rsidR="00000000" w:rsidRPr="00000000">
        <w:rPr>
          <w:rtl w:val="0"/>
        </w:rPr>
      </w:r>
    </w:p>
    <w:p w:rsidR="00000000" w:rsidDel="00000000" w:rsidP="00000000" w:rsidRDefault="00000000" w:rsidRPr="00000000" w14:paraId="00000008">
      <w:pPr>
        <w:numPr>
          <w:ilvl w:val="0"/>
          <w:numId w:val="2"/>
        </w:numPr>
        <w:ind w:left="1440" w:hanging="360"/>
        <w:rPr>
          <w:u w:val="none"/>
        </w:rPr>
      </w:pPr>
      <w:r w:rsidDel="00000000" w:rsidR="00000000" w:rsidRPr="00000000">
        <w:rPr>
          <w:rtl w:val="0"/>
        </w:rPr>
        <w:t xml:space="preserve">Feedback from the evaluators: </w:t>
      </w:r>
      <w:hyperlink r:id="rId7">
        <w:r w:rsidDel="00000000" w:rsidR="00000000" w:rsidRPr="00000000">
          <w:rPr>
            <w:color w:val="1155cc"/>
            <w:u w:val="single"/>
            <w:rtl w:val="0"/>
          </w:rPr>
          <w:t xml:space="preserve">2024 Ad Hoc review evaluation feedback</w:t>
        </w:r>
      </w:hyperlink>
      <w:r w:rsidDel="00000000" w:rsidR="00000000" w:rsidRPr="00000000">
        <w:rPr>
          <w:rtl w:val="0"/>
        </w:rPr>
      </w:r>
    </w:p>
    <w:p w:rsidR="00000000" w:rsidDel="00000000" w:rsidP="00000000" w:rsidRDefault="00000000" w:rsidRPr="00000000" w14:paraId="00000009">
      <w:pPr>
        <w:numPr>
          <w:ilvl w:val="0"/>
          <w:numId w:val="2"/>
        </w:numPr>
        <w:ind w:left="1440" w:hanging="360"/>
        <w:rPr>
          <w:u w:val="none"/>
        </w:rPr>
      </w:pPr>
      <w:r w:rsidDel="00000000" w:rsidR="00000000" w:rsidRPr="00000000">
        <w:rPr>
          <w:rtl w:val="0"/>
        </w:rPr>
        <w:t xml:space="preserve">About what comes next in Spring 2026: </w:t>
      </w:r>
      <w:hyperlink r:id="rId8">
        <w:r w:rsidDel="00000000" w:rsidR="00000000" w:rsidRPr="00000000">
          <w:rPr>
            <w:color w:val="1155cc"/>
            <w:u w:val="single"/>
            <w:rtl w:val="0"/>
          </w:rPr>
          <w:t xml:space="preserve">2026 Mid Cycle report handbook summary</w:t>
        </w:r>
      </w:hyperlink>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Supporting General Education Assessment: Let’s start to look at the strengths and challenges of how we do general education assessment. Are there ways we can better support this work and leverage it to get a better view of student learning of core competencies at an institutional level? (This is a big topic so let’s start here and probably carry it forward in future meetings)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NOTES:</w:t>
      </w:r>
    </w:p>
    <w:p w:rsidR="00000000" w:rsidDel="00000000" w:rsidP="00000000" w:rsidRDefault="00000000" w:rsidRPr="00000000" w14:paraId="0000000F">
      <w:pPr>
        <w:rPr/>
      </w:pPr>
      <w:r w:rsidDel="00000000" w:rsidR="00000000" w:rsidRPr="00000000">
        <w:rPr>
          <w:rtl w:val="0"/>
        </w:rPr>
        <w:t xml:space="preserve">We reviewed NWCCU evaluator feedback and looked at what is involved in the Mid Cyle accreditation report. The Mid Cycle visit will be in Spring 2026 and the report will be due several months prior, probably at the end of Fall 2025.</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had a brief discussion of how gen ed assessment has shown up in accreditation feedback and in self-reflection in our reports. We started asking questions about how we can support gen ed assessment and use of assessment at the institutional level. Discussion to be continued.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doN9CypdUZrMNc6lulInZ1PbkSt6eLz5/view?usp=sharing" TargetMode="External"/><Relationship Id="rId7" Type="http://schemas.openxmlformats.org/officeDocument/2006/relationships/hyperlink" Target="https://docs.google.com/document/d/1tZZ3b_rzP_4pPLdnFYlFRu7ulxLJcpG0COvMeTbHOek/edit?usp=sharing" TargetMode="External"/><Relationship Id="rId8" Type="http://schemas.openxmlformats.org/officeDocument/2006/relationships/hyperlink" Target="https://docs.google.com/document/d/1vHC7mFAo4QVZdoxJjxtKyiSwowCizrIvL_ao6jKMWs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